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39" w:rsidRDefault="00737F39" w:rsidP="00737F39">
      <w:pPr>
        <w:pStyle w:val="NormaleWeb"/>
        <w:shd w:val="clear" w:color="auto" w:fill="FFFFFF"/>
        <w:spacing w:before="0" w:beforeAutospacing="0" w:after="240" w:afterAutospacing="0" w:line="273" w:lineRule="atLeast"/>
      </w:pPr>
      <w:r>
        <w:t xml:space="preserve">ACCORDO </w:t>
      </w:r>
      <w:proofErr w:type="spellStart"/>
      <w:r>
        <w:t>DI</w:t>
      </w:r>
      <w:proofErr w:type="spellEnd"/>
      <w:r>
        <w:t xml:space="preserve"> PARTENARIATO</w:t>
      </w:r>
    </w:p>
    <w:p w:rsidR="00737F39" w:rsidRDefault="00737F39" w:rsidP="00737F39">
      <w:pPr>
        <w:pStyle w:val="NormaleWeb"/>
        <w:shd w:val="clear" w:color="auto" w:fill="FFFFFF"/>
        <w:spacing w:before="0" w:beforeAutospacing="0" w:after="240" w:afterAutospacing="0" w:line="273" w:lineRule="atLeast"/>
      </w:pPr>
    </w:p>
    <w:p w:rsidR="00737F39" w:rsidRPr="00737F39" w:rsidRDefault="00737F39" w:rsidP="00737F39">
      <w:pPr>
        <w:pStyle w:val="NormaleWeb"/>
        <w:shd w:val="clear" w:color="auto" w:fill="FFFFFF"/>
        <w:spacing w:before="0" w:beforeAutospacing="0" w:after="240" w:afterAutospacing="0" w:line="273" w:lineRule="atLeast"/>
        <w:jc w:val="both"/>
        <w:rPr>
          <w:rFonts w:ascii="Helvetica" w:hAnsi="Helvetica" w:cs="Helvetica"/>
          <w:color w:val="000000"/>
          <w:sz w:val="20"/>
          <w:szCs w:val="20"/>
        </w:rPr>
      </w:pPr>
      <w:r w:rsidRPr="00737F39">
        <w:rPr>
          <w:rFonts w:ascii="Helvetica" w:hAnsi="Helvetica" w:cs="Helvetica"/>
          <w:b/>
          <w:bCs/>
          <w:color w:val="000000"/>
          <w:sz w:val="20"/>
        </w:rPr>
        <w:t>L’Accordo di Partenariato</w:t>
      </w:r>
      <w:r w:rsidR="009949FC">
        <w:rPr>
          <w:rFonts w:ascii="Helvetica" w:hAnsi="Helvetica" w:cs="Helvetica"/>
          <w:color w:val="000000"/>
          <w:sz w:val="20"/>
        </w:rPr>
        <w:t xml:space="preserve"> </w:t>
      </w:r>
      <w:r w:rsidR="009949FC">
        <w:rPr>
          <w:rFonts w:ascii="Helvetica" w:hAnsi="Helvetica" w:cs="Helvetica"/>
          <w:color w:val="000000"/>
          <w:sz w:val="20"/>
          <w:szCs w:val="20"/>
        </w:rPr>
        <w:t xml:space="preserve">è </w:t>
      </w:r>
      <w:r w:rsidRPr="00737F39">
        <w:rPr>
          <w:rFonts w:ascii="Helvetica" w:hAnsi="Helvetica" w:cs="Helvetica"/>
          <w:color w:val="000000"/>
          <w:sz w:val="20"/>
          <w:szCs w:val="20"/>
        </w:rPr>
        <w:t>lo strumento previsto dal Regolamento generale sui Fondi strutturali 2014 2020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>
        <w:rPr>
          <w:rStyle w:val="Enfasicorsivo"/>
          <w:rFonts w:ascii="Helvetica" w:hAnsi="Helvetica" w:cs="Helvetica"/>
          <w:color w:val="000000"/>
          <w:sz w:val="20"/>
          <w:szCs w:val="20"/>
          <w:shd w:val="clear" w:color="auto" w:fill="FFFFFF"/>
        </w:rPr>
        <w:t>(</w:t>
      </w:r>
      <w:hyperlink r:id="rId6" w:history="1">
        <w:r>
          <w:rPr>
            <w:rStyle w:val="Enfasicorsivo"/>
            <w:rFonts w:ascii="Helvetica" w:hAnsi="Helvetica" w:cs="Helvetica"/>
            <w:color w:val="000000"/>
            <w:sz w:val="20"/>
            <w:szCs w:val="20"/>
            <w:shd w:val="clear" w:color="auto" w:fill="FFFFFF"/>
          </w:rPr>
          <w:t>Reg. (UE) N. 1303/2013</w:t>
        </w:r>
      </w:hyperlink>
      <w:r>
        <w:rPr>
          <w:rStyle w:val="Enfasicorsivo"/>
          <w:rFonts w:ascii="Helvetica" w:hAnsi="Helvetica" w:cs="Helvetica"/>
          <w:color w:val="000000"/>
          <w:sz w:val="20"/>
          <w:szCs w:val="20"/>
          <w:shd w:val="clear" w:color="auto" w:fill="FFFFFF"/>
        </w:rPr>
        <w:t>)</w:t>
      </w:r>
      <w:r w:rsidR="009949FC">
        <w:rPr>
          <w:rFonts w:ascii="Helvetica" w:hAnsi="Helvetica" w:cs="Helvetica"/>
          <w:color w:val="000000"/>
          <w:sz w:val="20"/>
          <w:szCs w:val="20"/>
        </w:rPr>
        <w:t xml:space="preserve">, </w:t>
      </w:r>
      <w:r w:rsidRPr="00737F39">
        <w:rPr>
          <w:rFonts w:ascii="Helvetica" w:hAnsi="Helvetica" w:cs="Helvetica"/>
          <w:color w:val="000000"/>
          <w:sz w:val="20"/>
          <w:szCs w:val="20"/>
        </w:rPr>
        <w:t>che</w:t>
      </w:r>
      <w:r w:rsidR="009949FC">
        <w:rPr>
          <w:rFonts w:ascii="Helvetica" w:hAnsi="Helvetica" w:cs="Helvetica"/>
          <w:color w:val="000000"/>
          <w:sz w:val="20"/>
        </w:rPr>
        <w:t xml:space="preserve"> </w:t>
      </w:r>
      <w:r w:rsidRPr="00737F39">
        <w:rPr>
          <w:rFonts w:ascii="Helvetica" w:hAnsi="Helvetica" w:cs="Helvetica"/>
          <w:b/>
          <w:bCs/>
          <w:color w:val="000000"/>
          <w:sz w:val="20"/>
        </w:rPr>
        <w:t>definisce la strategia e le priorità di intervento di ogni Stato Membro</w:t>
      </w:r>
      <w:r w:rsidRPr="00737F39">
        <w:rPr>
          <w:rFonts w:ascii="Helvetica" w:hAnsi="Helvetica" w:cs="Helvetica"/>
          <w:color w:val="000000"/>
          <w:sz w:val="20"/>
          <w:szCs w:val="20"/>
        </w:rPr>
        <w:t>, nonché le modalità di impiego dei Fondi Europei strutturali i per il nuovo periodo di programmazione.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E’ quindi il documento con cui ciascuno stato membro dell'Unione europea si impegna con la stessa Ue ad utilizzare i fondi strutturali in maniera più efficiente e ed efficace rispetto al passato attraverso un raccordo funzionale tra raccomandazioni specifiche provenienti dalla Commissione Europea, obiettivi tematici nazionali e risultati attesi dall’impiego dei fondi.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Con riferimento agli obiettivi di Europa 2020, l’</w:t>
      </w:r>
      <w:proofErr w:type="spellStart"/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Ap</w:t>
      </w:r>
      <w:proofErr w:type="spellEnd"/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 xml:space="preserve"> dovrà contenere la definizione dell’approccio strategico territoriale da supportare con tutti i Fondi del QSC, con obiettivi fissati per ogni Paese. Il documento individua gli investimenti strategici e la serie di condizionalità ex ante non soddisfatte con il calendario delle azioni da intraprendere.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Rispetto alle priorità d’intervento i fondi saranno utilizzati in funzione antirecessiva e per cogliere alcuni obiettivi strategici di tipo strutturale, tra i quali emergono tre grandi obiettivi:</w:t>
      </w:r>
    </w:p>
    <w:p w:rsidR="00737F39" w:rsidRPr="00737F39" w:rsidRDefault="00737F39" w:rsidP="00737F39">
      <w:pPr>
        <w:numPr>
          <w:ilvl w:val="0"/>
          <w:numId w:val="1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Rafforzare il tessuto produttivo</w:t>
      </w:r>
    </w:p>
    <w:p w:rsidR="00737F39" w:rsidRPr="00737F39" w:rsidRDefault="00737F39" w:rsidP="00737F39">
      <w:pPr>
        <w:numPr>
          <w:ilvl w:val="0"/>
          <w:numId w:val="1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Accrescere l’occupazione</w:t>
      </w:r>
    </w:p>
    <w:p w:rsidR="00737F39" w:rsidRPr="00737F39" w:rsidRDefault="00737F39" w:rsidP="00737F39">
      <w:pPr>
        <w:numPr>
          <w:ilvl w:val="0"/>
          <w:numId w:val="1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Favorire l’inclusione sociale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Lo stato membro si impegna di riferire annualmente sui progressi conseguiti nella sua attuazione attraverso relazioni annuali sulla politica di coesione, sulla politica di sviluppo rurale e ulteriori rapporti pubblicai sui temi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a)   Obiettivi tematici</w:t>
      </w:r>
    </w:p>
    <w:p w:rsid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“</w:t>
      </w:r>
      <w:r w:rsidRPr="00737F39"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>Al fine di contribuire alla realizzazione della strategia dell'Unione per una crescita intelligente, sostenibile e inclusiva, e delle missioni specifiche di ciascun fondo conformemente ai loro obiettivi basati sul trattato, compresa la coesione economica, sociale e territoriale, ogni fondo SIE sostiene gli obiettivi tematici seguenti: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i/>
          <w:iCs/>
          <w:color w:val="000000"/>
          <w:sz w:val="20"/>
          <w:szCs w:val="20"/>
          <w:lang w:eastAsia="it-IT"/>
        </w:rPr>
        <w:br/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1) rafforzare la ricerca, lo sviluppo tecnologico e l'innovazione;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2) migliorare l'accesso alle TIC, nonché l'impiego e la qualità delle medesime;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3) promuovere la competitività delle PMI, del settore agricolo (per il FEASR) e del settore della pesca e dell'acquacoltura (per il FEAMP);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4) sostenere la transizione verso un'economia a basse emissioni di carbonio in tutti i settori;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5) promuovere l'adattamento al cambiamento climatico, la prevenzione e la gestione dei rischi;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6) preservare e tutelare l'ambiente e promuovere l'uso efficiente delle risorse;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7) promuovere sistemi di trasporto sostenibili ed eliminare le strozzature nelle principali infrastrutture di rete;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8) promuovere un'occupazione sostenibile e di qualità e sostenere la mobilità dei lavoratori;</w:t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it-IT"/>
        </w:rPr>
        <w:br/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9) promuovere l'inclusione sociale e combattere la povertà e ogni discriminazione;</w:t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it-IT"/>
        </w:rPr>
        <w:br/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10) investire nell'istruzione, nella formazione e nella formazione professionale per le competenze e l'apprendimento permanente;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br/>
        <w:t>11) rafforzare la capacità istituzionale delle autorità pubbliche e delle parti interessate e un'amministrazione pubblica efficiente;</w:t>
      </w:r>
      <w:r w:rsidRPr="00737F39"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>”</w:t>
      </w:r>
      <w:r w:rsidRPr="00737F39">
        <w:rPr>
          <w:rFonts w:ascii="Helvetica" w:eastAsia="Times New Roman" w:hAnsi="Helvetica" w:cs="Helvetica"/>
          <w:i/>
          <w:iCs/>
          <w:color w:val="000000"/>
          <w:sz w:val="20"/>
          <w:szCs w:val="20"/>
          <w:lang w:eastAsia="it-IT"/>
        </w:rPr>
        <w:br/>
      </w:r>
      <w:r w:rsidRPr="00737F39"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>(Art. 9 del </w:t>
      </w:r>
      <w:hyperlink r:id="rId7" w:history="1">
        <w:r w:rsidRPr="00737F39">
          <w:rPr>
            <w:rFonts w:ascii="Helvetica" w:eastAsia="Times New Roman" w:hAnsi="Helvetica" w:cs="Helvetica"/>
            <w:i/>
            <w:iCs/>
            <w:color w:val="000000"/>
            <w:sz w:val="20"/>
            <w:lang w:eastAsia="it-IT"/>
          </w:rPr>
          <w:t>Reg. (UE) N. 1303/2013</w:t>
        </w:r>
      </w:hyperlink>
      <w:r w:rsidRPr="00737F39"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>)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 </w:t>
      </w:r>
    </w:p>
    <w:p w:rsidR="00737F39" w:rsidRPr="00737F39" w:rsidRDefault="00737F39" w:rsidP="00737F39">
      <w:pPr>
        <w:shd w:val="clear" w:color="auto" w:fill="FFFFFF"/>
        <w:spacing w:after="240" w:line="273" w:lineRule="atLeast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lastRenderedPageBreak/>
        <w:t>In particolare,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l’Obiettivo Tematico n. 9</w:t>
      </w:r>
      <w:r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>“Promuovere l’inclusione sociale, combattere la povertà e ogni forma di discriminazione”</w:t>
      </w:r>
      <w:r>
        <w:rPr>
          <w:rFonts w:ascii="Helvetica" w:eastAsia="Times New Roman" w:hAnsi="Helvetica" w:cs="Helvetica"/>
          <w:i/>
          <w:iCs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si declina in 6 priorità di investimento, da cui scaturiscono altrettanti obiettivi specifici/risultati attesi:</w:t>
      </w:r>
    </w:p>
    <w:p w:rsidR="00737F39" w:rsidRPr="00737F39" w:rsidRDefault="009949FC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 xml:space="preserve">riduzione della </w:t>
      </w:r>
      <w:r w:rsidR="00737F39"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povertà</w:t>
      </w:r>
      <w:r w:rsidR="00737F39"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, dell’esclusione sociali e innovazione sociale;</w:t>
      </w:r>
    </w:p>
    <w:p w:rsidR="00737F39" w:rsidRPr="00737F39" w:rsidRDefault="009949FC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incremento dell’</w:t>
      </w:r>
      <w:proofErr w:type="spellStart"/>
      <w:r w:rsidR="00737F39"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occupabilità</w:t>
      </w:r>
      <w:proofErr w:type="spellEnd"/>
      <w:r w:rsidR="00737F39"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 xml:space="preserve"> e della partecipazione al mercato del lav</w:t>
      </w:r>
      <w:r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oro, attraverso percorsi integr</w:t>
      </w:r>
      <w:r w:rsidR="00737F39"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ati e multidimensionali di inclusione attiva delle persone maggiormente vulnerabili, vittime di violenza o grave sfruttamento e a rischio discriminazione;</w:t>
      </w:r>
    </w:p>
    <w:p w:rsidR="00737F39" w:rsidRPr="00737F39" w:rsidRDefault="00737F39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aumento/consolidamento/qualificazione dei servizi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di cura socio-educativi rivolti ai bambini e cura rivolti a persone con limitazioni dell’autonomia e potenziamento della rete infrastrutturale e dell’offerta di servizi sanitari e sociosanitari territoriali;</w:t>
      </w:r>
    </w:p>
    <w:p w:rsidR="00737F39" w:rsidRPr="00737F39" w:rsidRDefault="00737F39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riduzione del numero di famiglie in condizioni di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disagio abitativo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;</w:t>
      </w:r>
    </w:p>
    <w:p w:rsidR="00737F39" w:rsidRPr="00737F39" w:rsidRDefault="00737F39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riduzione della marginalità estrema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e interventi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di inclusione a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 xml:space="preserve">favore delle persone senza dimora e delle popolazioni Rom, </w:t>
      </w:r>
      <w:proofErr w:type="spellStart"/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Sinti</w:t>
      </w:r>
      <w:proofErr w:type="spellEnd"/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 xml:space="preserve"> e Camminanti in coerenza con la strategia nazionale di integrazione dei Rom;</w:t>
      </w:r>
    </w:p>
    <w:p w:rsidR="00737F39" w:rsidRPr="00737F39" w:rsidRDefault="00737F39" w:rsidP="00737F39">
      <w:pPr>
        <w:numPr>
          <w:ilvl w:val="0"/>
          <w:numId w:val="2"/>
        </w:numPr>
        <w:shd w:val="clear" w:color="auto" w:fill="FFFFFF"/>
        <w:spacing w:after="0" w:line="273" w:lineRule="atLeast"/>
        <w:ind w:left="480" w:right="240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 w:rsidRPr="00737F39">
        <w:rPr>
          <w:rFonts w:ascii="Helvetica" w:eastAsia="Times New Roman" w:hAnsi="Helvetica" w:cs="Helvetica"/>
          <w:b/>
          <w:bCs/>
          <w:color w:val="000000"/>
          <w:sz w:val="20"/>
          <w:lang w:eastAsia="it-IT"/>
        </w:rPr>
        <w:t>aumento della legalità</w:t>
      </w:r>
      <w:r w:rsidR="009949FC">
        <w:rPr>
          <w:rFonts w:ascii="Helvetica" w:eastAsia="Times New Roman" w:hAnsi="Helvetica" w:cs="Helvetica"/>
          <w:color w:val="000000"/>
          <w:sz w:val="20"/>
          <w:lang w:eastAsia="it-IT"/>
        </w:rPr>
        <w:t xml:space="preserve"> </w:t>
      </w:r>
      <w:r w:rsidRPr="00737F39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nelle aree ad alta esclusione sociale e miglioramento del tessuto urbano nelle aree a basso tasso di legalità.</w:t>
      </w:r>
    </w:p>
    <w:p w:rsidR="00737F39" w:rsidRPr="00737F39" w:rsidRDefault="00737F39" w:rsidP="00737F39">
      <w:pPr>
        <w:shd w:val="clear" w:color="auto" w:fill="FFFFFF"/>
        <w:spacing w:after="120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it-IT"/>
        </w:rPr>
      </w:pPr>
    </w:p>
    <w:p w:rsidR="00737F39" w:rsidRDefault="00737F39" w:rsidP="00737F39">
      <w:pPr>
        <w:shd w:val="clear" w:color="auto" w:fill="FFFFFF"/>
        <w:spacing w:after="120" w:line="240" w:lineRule="auto"/>
        <w:outlineLvl w:val="1"/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it-IT"/>
        </w:rPr>
      </w:pPr>
      <w:r>
        <w:rPr>
          <w:rFonts w:ascii="Helvetica" w:eastAsia="Times New Roman" w:hAnsi="Helvetica" w:cs="Helvetica"/>
          <w:b/>
          <w:bCs/>
          <w:color w:val="000000"/>
          <w:sz w:val="26"/>
          <w:szCs w:val="26"/>
          <w:lang w:eastAsia="it-IT"/>
        </w:rPr>
        <w:t>L’Italia</w:t>
      </w:r>
    </w:p>
    <w:p w:rsidR="00737F39" w:rsidRDefault="00737F39" w:rsidP="00737F39">
      <w:pPr>
        <w:shd w:val="clear" w:color="auto" w:fill="FFFFFF"/>
        <w:spacing w:after="120" w:line="240" w:lineRule="auto"/>
        <w:outlineLvl w:val="1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Il 29 ottobre 2014 la Commissione Europea ha approvato l’Accordo di partenariato proposto dall’Italia</w:t>
      </w:r>
      <w:r w:rsidR="00BC3105"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.</w:t>
      </w:r>
    </w:p>
    <w:p w:rsidR="00BC3105" w:rsidRDefault="00BC3105" w:rsidP="00737F39">
      <w:pPr>
        <w:shd w:val="clear" w:color="auto" w:fill="FFFFFF"/>
        <w:spacing w:after="120" w:line="240" w:lineRule="auto"/>
        <w:outlineLvl w:val="1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  <w:r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  <w:t>Si rimanda al file “I fondi europei per la coesione” del 4 novembre a cura della Presidenza del Consiglio dei Ministri, per una presentazione schematica dell’Accordo.</w:t>
      </w:r>
    </w:p>
    <w:p w:rsidR="00BC3105" w:rsidRPr="00BC3105" w:rsidRDefault="00BC3105" w:rsidP="00737F39">
      <w:pPr>
        <w:shd w:val="clear" w:color="auto" w:fill="FFFFFF"/>
        <w:spacing w:after="120" w:line="240" w:lineRule="auto"/>
        <w:outlineLvl w:val="1"/>
        <w:rPr>
          <w:rFonts w:ascii="Helvetica" w:eastAsia="Times New Roman" w:hAnsi="Helvetica" w:cs="Helvetica"/>
          <w:color w:val="000000"/>
          <w:sz w:val="20"/>
          <w:szCs w:val="20"/>
          <w:lang w:eastAsia="it-IT"/>
        </w:rPr>
      </w:pPr>
    </w:p>
    <w:p w:rsidR="008154BA" w:rsidRDefault="00BC3105">
      <w:r>
        <w:t>Il testo dell’Accordo è disponibile sul sito:</w:t>
      </w:r>
      <w:r w:rsidR="001506AA">
        <w:t xml:space="preserve"> </w:t>
      </w:r>
      <w:hyperlink r:id="rId8" w:history="1">
        <w:r w:rsidR="001506AA" w:rsidRPr="0030568E">
          <w:rPr>
            <w:rStyle w:val="Collegamentoipertestuale"/>
          </w:rPr>
          <w:t>http://www.dps.gov.it/it/AccordoPartenariato/index.html</w:t>
        </w:r>
      </w:hyperlink>
    </w:p>
    <w:p w:rsidR="00BC3105" w:rsidRDefault="00BC3105">
      <w:r>
        <w:t>Si consiglia la lettura approfondita delle seguenti sezioni:</w:t>
      </w:r>
    </w:p>
    <w:tbl>
      <w:tblPr>
        <w:tblStyle w:val="Grigliatabella"/>
        <w:tblW w:w="0" w:type="auto"/>
        <w:tblLook w:val="04A0"/>
      </w:tblPr>
      <w:tblGrid>
        <w:gridCol w:w="3259"/>
        <w:gridCol w:w="3259"/>
        <w:gridCol w:w="3260"/>
      </w:tblGrid>
      <w:tr w:rsidR="00BC3105" w:rsidRPr="00997472" w:rsidTr="00BC3105">
        <w:tc>
          <w:tcPr>
            <w:tcW w:w="3259" w:type="dxa"/>
          </w:tcPr>
          <w:p w:rsidR="00BC3105" w:rsidRPr="00997472" w:rsidRDefault="00E1280F" w:rsidP="00997472">
            <w:pPr>
              <w:jc w:val="center"/>
              <w:rPr>
                <w:b/>
              </w:rPr>
            </w:pPr>
            <w:r>
              <w:rPr>
                <w:b/>
              </w:rPr>
              <w:t>Documenti</w:t>
            </w:r>
          </w:p>
        </w:tc>
        <w:tc>
          <w:tcPr>
            <w:tcW w:w="3259" w:type="dxa"/>
          </w:tcPr>
          <w:p w:rsidR="00BC3105" w:rsidRPr="00997472" w:rsidRDefault="00E1280F" w:rsidP="00997472">
            <w:pPr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="00BC3105" w:rsidRPr="00997472">
              <w:rPr>
                <w:b/>
              </w:rPr>
              <w:t>agine</w:t>
            </w:r>
          </w:p>
        </w:tc>
        <w:tc>
          <w:tcPr>
            <w:tcW w:w="3260" w:type="dxa"/>
          </w:tcPr>
          <w:p w:rsidR="00BC3105" w:rsidRPr="00997472" w:rsidRDefault="00E1280F" w:rsidP="00997472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BC3105" w:rsidRPr="00997472">
              <w:rPr>
                <w:b/>
              </w:rPr>
              <w:t>ontenuti</w:t>
            </w:r>
          </w:p>
        </w:tc>
      </w:tr>
      <w:tr w:rsidR="009949FC" w:rsidTr="009949FC">
        <w:tc>
          <w:tcPr>
            <w:tcW w:w="3259" w:type="dxa"/>
            <w:vMerge w:val="restart"/>
            <w:vAlign w:val="center"/>
          </w:tcPr>
          <w:p w:rsidR="009949FC" w:rsidRPr="009949FC" w:rsidRDefault="009949FC" w:rsidP="009949FC">
            <w:pPr>
              <w:rPr>
                <w:b/>
                <w:i/>
              </w:rPr>
            </w:pPr>
            <w:r w:rsidRPr="009949FC">
              <w:rPr>
                <w:b/>
                <w:i/>
              </w:rPr>
              <w:t>AP Sezione 1A</w:t>
            </w:r>
          </w:p>
        </w:tc>
        <w:tc>
          <w:tcPr>
            <w:tcW w:w="3259" w:type="dxa"/>
          </w:tcPr>
          <w:p w:rsidR="009949FC" w:rsidRDefault="009949FC" w:rsidP="00997472">
            <w:pPr>
              <w:jc w:val="center"/>
            </w:pPr>
            <w:r>
              <w:t>93 – 104</w:t>
            </w:r>
          </w:p>
        </w:tc>
        <w:tc>
          <w:tcPr>
            <w:tcW w:w="3260" w:type="dxa"/>
          </w:tcPr>
          <w:p w:rsidR="009949FC" w:rsidRDefault="009949FC">
            <w:r>
              <w:t>Obiettivo Tematico 9: analisi delle principali criticità</w:t>
            </w:r>
          </w:p>
        </w:tc>
      </w:tr>
      <w:tr w:rsidR="009949FC" w:rsidTr="009949FC">
        <w:tc>
          <w:tcPr>
            <w:tcW w:w="3259" w:type="dxa"/>
            <w:vMerge/>
            <w:vAlign w:val="center"/>
          </w:tcPr>
          <w:p w:rsidR="009949FC" w:rsidRPr="009949FC" w:rsidRDefault="009949FC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9949FC" w:rsidRDefault="009949FC" w:rsidP="00997472">
            <w:pPr>
              <w:jc w:val="center"/>
            </w:pPr>
            <w:r>
              <w:t>239 -246</w:t>
            </w:r>
          </w:p>
        </w:tc>
        <w:tc>
          <w:tcPr>
            <w:tcW w:w="3260" w:type="dxa"/>
          </w:tcPr>
          <w:p w:rsidR="009949FC" w:rsidRDefault="009949FC">
            <w:r>
              <w:t>Linee di indirizzo strategico</w:t>
            </w:r>
          </w:p>
        </w:tc>
      </w:tr>
      <w:tr w:rsidR="009949FC" w:rsidTr="009949FC">
        <w:tc>
          <w:tcPr>
            <w:tcW w:w="3259" w:type="dxa"/>
            <w:vMerge/>
            <w:vAlign w:val="center"/>
          </w:tcPr>
          <w:p w:rsidR="009949FC" w:rsidRPr="009949FC" w:rsidRDefault="009949FC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9949FC" w:rsidRDefault="009949FC" w:rsidP="00997472">
            <w:pPr>
              <w:jc w:val="center"/>
            </w:pPr>
            <w:r>
              <w:t>247 - 248</w:t>
            </w:r>
          </w:p>
        </w:tc>
        <w:tc>
          <w:tcPr>
            <w:tcW w:w="3260" w:type="dxa"/>
          </w:tcPr>
          <w:p w:rsidR="009949FC" w:rsidRDefault="009949FC">
            <w:r>
              <w:t>Elenco risultati attesi e indicatori</w:t>
            </w:r>
          </w:p>
        </w:tc>
      </w:tr>
      <w:tr w:rsidR="00BC3105" w:rsidTr="009949FC">
        <w:tc>
          <w:tcPr>
            <w:tcW w:w="3259" w:type="dxa"/>
            <w:vAlign w:val="center"/>
          </w:tcPr>
          <w:p w:rsidR="00BC3105" w:rsidRPr="009949FC" w:rsidRDefault="00BC3105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BC3105" w:rsidRDefault="00BC3105" w:rsidP="00997472">
            <w:pPr>
              <w:jc w:val="center"/>
            </w:pPr>
          </w:p>
        </w:tc>
        <w:tc>
          <w:tcPr>
            <w:tcW w:w="3260" w:type="dxa"/>
          </w:tcPr>
          <w:p w:rsidR="00BC3105" w:rsidRDefault="00BC3105"/>
        </w:tc>
      </w:tr>
      <w:tr w:rsidR="00BC3105" w:rsidTr="009949FC">
        <w:tc>
          <w:tcPr>
            <w:tcW w:w="3259" w:type="dxa"/>
            <w:vAlign w:val="center"/>
          </w:tcPr>
          <w:p w:rsidR="00BC3105" w:rsidRPr="009949FC" w:rsidRDefault="00BC3105" w:rsidP="009949FC">
            <w:pPr>
              <w:rPr>
                <w:b/>
                <w:i/>
              </w:rPr>
            </w:pPr>
            <w:r w:rsidRPr="009949FC">
              <w:rPr>
                <w:b/>
                <w:i/>
              </w:rPr>
              <w:t>AP Sezione 1b</w:t>
            </w:r>
          </w:p>
        </w:tc>
        <w:tc>
          <w:tcPr>
            <w:tcW w:w="3259" w:type="dxa"/>
          </w:tcPr>
          <w:p w:rsidR="00BC3105" w:rsidRDefault="00BC3105" w:rsidP="00997472">
            <w:pPr>
              <w:jc w:val="center"/>
            </w:pPr>
            <w:r>
              <w:t>285 - 289</w:t>
            </w:r>
          </w:p>
        </w:tc>
        <w:tc>
          <w:tcPr>
            <w:tcW w:w="3260" w:type="dxa"/>
          </w:tcPr>
          <w:p w:rsidR="00BC3105" w:rsidRDefault="00BC3105">
            <w:r>
              <w:t xml:space="preserve">Il partenariato, quanto fatto e prospettive future </w:t>
            </w:r>
            <w:r w:rsidR="00BB4A97">
              <w:t>; il nostro ruolo</w:t>
            </w:r>
          </w:p>
        </w:tc>
      </w:tr>
      <w:tr w:rsidR="00BC3105" w:rsidTr="009949FC">
        <w:tc>
          <w:tcPr>
            <w:tcW w:w="3259" w:type="dxa"/>
            <w:vAlign w:val="center"/>
          </w:tcPr>
          <w:p w:rsidR="00BC3105" w:rsidRPr="009949FC" w:rsidRDefault="00BC3105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BC3105" w:rsidRDefault="00BC3105" w:rsidP="00997472">
            <w:pPr>
              <w:jc w:val="center"/>
            </w:pPr>
          </w:p>
        </w:tc>
        <w:tc>
          <w:tcPr>
            <w:tcW w:w="3260" w:type="dxa"/>
          </w:tcPr>
          <w:p w:rsidR="00BC3105" w:rsidRDefault="00BC3105"/>
        </w:tc>
      </w:tr>
      <w:tr w:rsidR="009949FC" w:rsidTr="009949FC">
        <w:tc>
          <w:tcPr>
            <w:tcW w:w="3259" w:type="dxa"/>
            <w:vMerge w:val="restart"/>
            <w:vAlign w:val="center"/>
          </w:tcPr>
          <w:p w:rsidR="009949FC" w:rsidRPr="009949FC" w:rsidRDefault="009949FC" w:rsidP="009949FC">
            <w:pPr>
              <w:rPr>
                <w:b/>
                <w:i/>
              </w:rPr>
            </w:pPr>
            <w:r w:rsidRPr="009949FC">
              <w:rPr>
                <w:b/>
                <w:i/>
              </w:rPr>
              <w:t>AP Sezione 2</w:t>
            </w:r>
          </w:p>
        </w:tc>
        <w:tc>
          <w:tcPr>
            <w:tcW w:w="3259" w:type="dxa"/>
          </w:tcPr>
          <w:p w:rsidR="009949FC" w:rsidRDefault="009949FC" w:rsidP="00997472">
            <w:pPr>
              <w:jc w:val="center"/>
            </w:pPr>
            <w:r>
              <w:t>328 - 329</w:t>
            </w:r>
          </w:p>
        </w:tc>
        <w:tc>
          <w:tcPr>
            <w:tcW w:w="3260" w:type="dxa"/>
          </w:tcPr>
          <w:p w:rsidR="009949FC" w:rsidRDefault="009949FC">
            <w:r>
              <w:t>Modalità per assicurare il coordinamento dei fondi SIE con gli altri strumenti finanziari europei</w:t>
            </w:r>
          </w:p>
        </w:tc>
      </w:tr>
      <w:tr w:rsidR="009949FC" w:rsidTr="009949FC">
        <w:tc>
          <w:tcPr>
            <w:tcW w:w="3259" w:type="dxa"/>
            <w:vMerge/>
            <w:vAlign w:val="center"/>
          </w:tcPr>
          <w:p w:rsidR="009949FC" w:rsidRPr="009949FC" w:rsidRDefault="009949FC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9949FC" w:rsidRDefault="009949FC" w:rsidP="008714E4">
            <w:pPr>
              <w:jc w:val="center"/>
            </w:pPr>
            <w:r>
              <w:t>420 - 449</w:t>
            </w:r>
          </w:p>
        </w:tc>
        <w:tc>
          <w:tcPr>
            <w:tcW w:w="3260" w:type="dxa"/>
          </w:tcPr>
          <w:p w:rsidR="009949FC" w:rsidRDefault="009949FC" w:rsidP="008714E4">
            <w:r>
              <w:t>Valutazione sintetica adempimento condizionalità ex ante relativa all’OB tematico 9</w:t>
            </w:r>
          </w:p>
        </w:tc>
      </w:tr>
      <w:tr w:rsidR="00997472" w:rsidTr="009949FC">
        <w:tc>
          <w:tcPr>
            <w:tcW w:w="3259" w:type="dxa"/>
            <w:vAlign w:val="center"/>
          </w:tcPr>
          <w:p w:rsidR="00997472" w:rsidRPr="009949FC" w:rsidRDefault="00997472" w:rsidP="009949FC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997472" w:rsidRDefault="00997472" w:rsidP="00997472">
            <w:pPr>
              <w:jc w:val="center"/>
            </w:pPr>
          </w:p>
        </w:tc>
        <w:tc>
          <w:tcPr>
            <w:tcW w:w="3260" w:type="dxa"/>
          </w:tcPr>
          <w:p w:rsidR="00997472" w:rsidRDefault="00997472"/>
        </w:tc>
      </w:tr>
      <w:tr w:rsidR="00997472" w:rsidTr="009949FC">
        <w:tc>
          <w:tcPr>
            <w:tcW w:w="3259" w:type="dxa"/>
            <w:vAlign w:val="center"/>
          </w:tcPr>
          <w:p w:rsidR="00997472" w:rsidRPr="009949FC" w:rsidRDefault="00AE00F6" w:rsidP="009949FC">
            <w:pPr>
              <w:rPr>
                <w:b/>
                <w:i/>
              </w:rPr>
            </w:pPr>
            <w:r w:rsidRPr="009949FC">
              <w:rPr>
                <w:b/>
                <w:i/>
              </w:rPr>
              <w:t>AP Allegato 1</w:t>
            </w:r>
          </w:p>
        </w:tc>
        <w:tc>
          <w:tcPr>
            <w:tcW w:w="3259" w:type="dxa"/>
          </w:tcPr>
          <w:p w:rsidR="00997472" w:rsidRDefault="00AE00F6" w:rsidP="00997472">
            <w:pPr>
              <w:jc w:val="center"/>
            </w:pPr>
            <w:r>
              <w:t xml:space="preserve">34 – 53 </w:t>
            </w:r>
          </w:p>
        </w:tc>
        <w:tc>
          <w:tcPr>
            <w:tcW w:w="3260" w:type="dxa"/>
          </w:tcPr>
          <w:p w:rsidR="00997472" w:rsidRDefault="00AE00F6">
            <w:r>
              <w:t>Tabella con indicati i Risultati attesi per l’</w:t>
            </w:r>
            <w:proofErr w:type="spellStart"/>
            <w:r>
              <w:t>ObT</w:t>
            </w:r>
            <w:proofErr w:type="spellEnd"/>
            <w:r>
              <w:t xml:space="preserve"> 8 e 9 e le azioni previste </w:t>
            </w:r>
          </w:p>
        </w:tc>
      </w:tr>
      <w:tr w:rsidR="00997472" w:rsidTr="009949FC">
        <w:tc>
          <w:tcPr>
            <w:tcW w:w="3259" w:type="dxa"/>
            <w:vAlign w:val="center"/>
          </w:tcPr>
          <w:p w:rsidR="00997472" w:rsidRPr="009949FC" w:rsidRDefault="001F7263" w:rsidP="009949FC">
            <w:pPr>
              <w:rPr>
                <w:b/>
                <w:i/>
              </w:rPr>
            </w:pPr>
            <w:r w:rsidRPr="009949FC">
              <w:rPr>
                <w:b/>
                <w:i/>
              </w:rPr>
              <w:t>AP Allegato 4</w:t>
            </w:r>
          </w:p>
        </w:tc>
        <w:tc>
          <w:tcPr>
            <w:tcW w:w="3259" w:type="dxa"/>
          </w:tcPr>
          <w:p w:rsidR="00997472" w:rsidRDefault="001F7263" w:rsidP="00997472">
            <w:pPr>
              <w:jc w:val="center"/>
            </w:pPr>
            <w:r>
              <w:t>13 - 14</w:t>
            </w:r>
          </w:p>
        </w:tc>
        <w:tc>
          <w:tcPr>
            <w:tcW w:w="3260" w:type="dxa"/>
          </w:tcPr>
          <w:p w:rsidR="00997472" w:rsidRDefault="001F7263" w:rsidP="001F7263">
            <w:r>
              <w:t>Tavole di raccordo tra priorità d’investimento  e risultati attesi</w:t>
            </w:r>
          </w:p>
        </w:tc>
      </w:tr>
      <w:tr w:rsidR="00997472" w:rsidTr="00BC3105">
        <w:tc>
          <w:tcPr>
            <w:tcW w:w="3259" w:type="dxa"/>
          </w:tcPr>
          <w:p w:rsidR="00997472" w:rsidRDefault="00997472"/>
        </w:tc>
        <w:tc>
          <w:tcPr>
            <w:tcW w:w="3259" w:type="dxa"/>
          </w:tcPr>
          <w:p w:rsidR="00997472" w:rsidRDefault="00997472" w:rsidP="00997472">
            <w:pPr>
              <w:jc w:val="center"/>
            </w:pPr>
          </w:p>
        </w:tc>
        <w:tc>
          <w:tcPr>
            <w:tcW w:w="3260" w:type="dxa"/>
          </w:tcPr>
          <w:p w:rsidR="00997472" w:rsidRDefault="00997472"/>
        </w:tc>
      </w:tr>
      <w:tr w:rsidR="00997472" w:rsidTr="00BC3105">
        <w:tc>
          <w:tcPr>
            <w:tcW w:w="3259" w:type="dxa"/>
          </w:tcPr>
          <w:p w:rsidR="00BB4A97" w:rsidRDefault="001F7263" w:rsidP="00BB4A97">
            <w:pPr>
              <w:pStyle w:val="CM4"/>
              <w:spacing w:before="60" w:after="60"/>
              <w:rPr>
                <w:rFonts w:cs="EUAlbertina"/>
                <w:b/>
                <w:bCs/>
                <w:color w:val="19161B"/>
                <w:sz w:val="19"/>
                <w:szCs w:val="19"/>
              </w:rPr>
            </w:pPr>
            <w:r>
              <w:t>Regolamento Europeo</w:t>
            </w:r>
          </w:p>
          <w:p w:rsidR="00BB4A97" w:rsidRPr="00515988" w:rsidRDefault="00BB4A97" w:rsidP="00BB4A97">
            <w:pPr>
              <w:pStyle w:val="CM4"/>
              <w:spacing w:before="60" w:after="60"/>
              <w:rPr>
                <w:rFonts w:cs="EUAlbertina"/>
                <w:i/>
                <w:color w:val="19161B"/>
                <w:sz w:val="19"/>
                <w:szCs w:val="19"/>
              </w:rPr>
            </w:pPr>
            <w:r w:rsidRPr="00515988">
              <w:rPr>
                <w:rFonts w:cs="EUAlbertina"/>
                <w:b/>
                <w:bCs/>
                <w:i/>
                <w:color w:val="19161B"/>
                <w:sz w:val="19"/>
                <w:szCs w:val="19"/>
              </w:rPr>
              <w:t xml:space="preserve">N. 1303/2013 DEL PARLAMENTO EUROPEO E DEL CONSIGLIO </w:t>
            </w:r>
          </w:p>
          <w:p w:rsidR="00BB4A97" w:rsidRPr="00515988" w:rsidRDefault="00BB4A97" w:rsidP="00BB4A97">
            <w:pPr>
              <w:pStyle w:val="CM4"/>
              <w:spacing w:before="60" w:after="60"/>
              <w:rPr>
                <w:rFonts w:cs="EUAlbertina"/>
                <w:i/>
                <w:color w:val="19161B"/>
                <w:sz w:val="19"/>
                <w:szCs w:val="19"/>
              </w:rPr>
            </w:pPr>
            <w:r w:rsidRPr="00515988">
              <w:rPr>
                <w:rFonts w:cs="EUAlbertina"/>
                <w:b/>
                <w:bCs/>
                <w:i/>
                <w:color w:val="19161B"/>
                <w:sz w:val="19"/>
                <w:szCs w:val="19"/>
              </w:rPr>
              <w:t xml:space="preserve">del 17 dicembre 2013 </w:t>
            </w:r>
          </w:p>
          <w:p w:rsidR="00997472" w:rsidRDefault="00997472"/>
        </w:tc>
        <w:tc>
          <w:tcPr>
            <w:tcW w:w="3259" w:type="dxa"/>
          </w:tcPr>
          <w:p w:rsidR="00997472" w:rsidRDefault="00997472" w:rsidP="00BB4A97">
            <w:pPr>
              <w:pStyle w:val="CM4"/>
              <w:spacing w:before="60" w:after="60"/>
            </w:pPr>
          </w:p>
        </w:tc>
        <w:tc>
          <w:tcPr>
            <w:tcW w:w="3260" w:type="dxa"/>
          </w:tcPr>
          <w:p w:rsidR="00997472" w:rsidRPr="00BB4A97" w:rsidRDefault="00BB4A97" w:rsidP="00BB4A97">
            <w:r w:rsidRPr="00BB4A97">
              <w:rPr>
                <w:rFonts w:cs="EUAlbertina"/>
                <w:bCs/>
                <w:color w:val="19161B"/>
                <w:sz w:val="19"/>
                <w:szCs w:val="19"/>
              </w:rPr>
              <w:t xml:space="preserve">Il regolamento contiene le  </w:t>
            </w:r>
            <w:r w:rsidRPr="00BB4A97">
              <w:rPr>
                <w:rFonts w:cs="EUAlbertina"/>
                <w:b/>
                <w:bCs/>
                <w:color w:val="19161B"/>
                <w:sz w:val="19"/>
                <w:szCs w:val="19"/>
              </w:rPr>
              <w:t>disposizioni comuni</w:t>
            </w:r>
            <w:r w:rsidRPr="00BB4A97">
              <w:rPr>
                <w:rFonts w:cs="EUAlbertina"/>
                <w:bCs/>
                <w:color w:val="19161B"/>
                <w:sz w:val="19"/>
                <w:szCs w:val="19"/>
              </w:rPr>
              <w:t xml:space="preserve"> sul Fondo europeo di sviluppo regionale, sul Fondo sociale europeo, sul Fondo di coesione, sul Fondo europeo agricolo per lo sviluppo rurale e sul Fondo europeo per gli affari marittimi e la pesca e </w:t>
            </w:r>
            <w:r w:rsidRPr="00BB4A97">
              <w:rPr>
                <w:rFonts w:cs="EUAlbertina"/>
                <w:b/>
                <w:bCs/>
                <w:color w:val="19161B"/>
                <w:sz w:val="19"/>
                <w:szCs w:val="19"/>
              </w:rPr>
              <w:t>disposizioni generali</w:t>
            </w:r>
            <w:r w:rsidRPr="00BB4A97">
              <w:rPr>
                <w:rFonts w:cs="EUAlbertina"/>
                <w:bCs/>
                <w:color w:val="19161B"/>
                <w:sz w:val="19"/>
                <w:szCs w:val="19"/>
              </w:rPr>
              <w:t xml:space="preserve"> sul Fondo europeo di sviluppo regionale, sul Fondo sociale europeo, sul Fondo di coesione e sul Fondo europeo per gli affari marittimi e la pesca,</w:t>
            </w:r>
          </w:p>
        </w:tc>
      </w:tr>
      <w:tr w:rsidR="00997472" w:rsidTr="00BC3105">
        <w:tc>
          <w:tcPr>
            <w:tcW w:w="3259" w:type="dxa"/>
          </w:tcPr>
          <w:p w:rsidR="00997472" w:rsidRDefault="00997472"/>
        </w:tc>
        <w:tc>
          <w:tcPr>
            <w:tcW w:w="3259" w:type="dxa"/>
          </w:tcPr>
          <w:p w:rsidR="00997472" w:rsidRDefault="00997472" w:rsidP="00997472">
            <w:pPr>
              <w:jc w:val="center"/>
            </w:pPr>
          </w:p>
        </w:tc>
        <w:tc>
          <w:tcPr>
            <w:tcW w:w="3260" w:type="dxa"/>
          </w:tcPr>
          <w:p w:rsidR="00997472" w:rsidRDefault="00997472"/>
        </w:tc>
      </w:tr>
      <w:tr w:rsidR="00997472" w:rsidTr="00BC3105">
        <w:tc>
          <w:tcPr>
            <w:tcW w:w="3259" w:type="dxa"/>
          </w:tcPr>
          <w:p w:rsidR="00997472" w:rsidRPr="00515988" w:rsidRDefault="00E1280F" w:rsidP="00E1280F">
            <w:pPr>
              <w:rPr>
                <w:b/>
                <w:i/>
              </w:rPr>
            </w:pPr>
            <w:r w:rsidRPr="00515988">
              <w:rPr>
                <w:b/>
                <w:i/>
              </w:rPr>
              <w:t>Codice europeo di condotta sul partenariato nell'ambito dei fondi strutturali e di investimento europei</w:t>
            </w:r>
          </w:p>
        </w:tc>
        <w:tc>
          <w:tcPr>
            <w:tcW w:w="3259" w:type="dxa"/>
          </w:tcPr>
          <w:p w:rsidR="00997472" w:rsidRDefault="00E1280F" w:rsidP="00997472">
            <w:pPr>
              <w:jc w:val="center"/>
            </w:pPr>
            <w:r>
              <w:t>In particolare 4/6  e 11/12</w:t>
            </w:r>
          </w:p>
        </w:tc>
        <w:tc>
          <w:tcPr>
            <w:tcW w:w="3260" w:type="dxa"/>
          </w:tcPr>
          <w:p w:rsidR="00E1280F" w:rsidRDefault="00E1280F" w:rsidP="00E1280F">
            <w:r>
              <w:t xml:space="preserve">Viene  riconosciuto che il </w:t>
            </w:r>
          </w:p>
          <w:p w:rsidR="00E1280F" w:rsidRDefault="00E1280F" w:rsidP="00E1280F">
            <w:r>
              <w:t xml:space="preserve">coinvolgimento dei partner è fondamentale per realizzare la strategia Europa 2020 per la </w:t>
            </w:r>
          </w:p>
          <w:p w:rsidR="00E1280F" w:rsidRDefault="00E1280F" w:rsidP="00E1280F">
            <w:r>
              <w:t xml:space="preserve">crescita e l'occupazione. Il partenariato è uno dei principi essenziali dei fondi </w:t>
            </w:r>
          </w:p>
          <w:p w:rsidR="00E1280F" w:rsidRDefault="00E1280F" w:rsidP="00E1280F">
            <w:r>
              <w:t xml:space="preserve">dell'Unione europea gestiti insieme dall'UE e dagli Stati membri in "gestione concorrente". Il </w:t>
            </w:r>
          </w:p>
          <w:p w:rsidR="00E1280F" w:rsidRDefault="00E1280F" w:rsidP="00E1280F">
            <w:r>
              <w:t xml:space="preserve">principio di partenariato comporta una stretta collaborazione negli Stati membri tra le autorità </w:t>
            </w:r>
          </w:p>
          <w:p w:rsidR="00E1280F" w:rsidRDefault="00E1280F" w:rsidP="00E1280F">
            <w:r>
              <w:t xml:space="preserve">pubbliche a livello nazionale, regionale e locale, come pure con il settore privato e gli altri </w:t>
            </w:r>
          </w:p>
          <w:p w:rsidR="00997472" w:rsidRDefault="00E1280F" w:rsidP="00E1280F">
            <w:proofErr w:type="spellStart"/>
            <w:r>
              <w:t>settor</w:t>
            </w:r>
            <w:proofErr w:type="spellEnd"/>
          </w:p>
        </w:tc>
      </w:tr>
      <w:tr w:rsidR="00997472" w:rsidTr="00BC3105">
        <w:tc>
          <w:tcPr>
            <w:tcW w:w="3259" w:type="dxa"/>
          </w:tcPr>
          <w:p w:rsidR="00997472" w:rsidRPr="00515988" w:rsidRDefault="00997472">
            <w:pPr>
              <w:rPr>
                <w:b/>
                <w:i/>
              </w:rPr>
            </w:pPr>
          </w:p>
        </w:tc>
        <w:tc>
          <w:tcPr>
            <w:tcW w:w="3259" w:type="dxa"/>
          </w:tcPr>
          <w:p w:rsidR="00997472" w:rsidRDefault="00997472" w:rsidP="00997472">
            <w:pPr>
              <w:jc w:val="center"/>
            </w:pPr>
          </w:p>
        </w:tc>
        <w:tc>
          <w:tcPr>
            <w:tcW w:w="3260" w:type="dxa"/>
          </w:tcPr>
          <w:p w:rsidR="00997472" w:rsidRDefault="00997472"/>
        </w:tc>
      </w:tr>
      <w:tr w:rsidR="00997472" w:rsidTr="00BC3105">
        <w:tc>
          <w:tcPr>
            <w:tcW w:w="3259" w:type="dxa"/>
          </w:tcPr>
          <w:p w:rsidR="00997472" w:rsidRPr="00515988" w:rsidRDefault="001F7263" w:rsidP="00947EF1">
            <w:pPr>
              <w:rPr>
                <w:b/>
                <w:i/>
              </w:rPr>
            </w:pPr>
            <w:r w:rsidRPr="00515988">
              <w:rPr>
                <w:b/>
                <w:i/>
              </w:rPr>
              <w:t>Risoluzione del Parlamento Europeo del 22 ottobre 2014 sul semestre europeo per il coordinamento delle politiche economiche</w:t>
            </w:r>
          </w:p>
        </w:tc>
        <w:tc>
          <w:tcPr>
            <w:tcW w:w="3259" w:type="dxa"/>
          </w:tcPr>
          <w:p w:rsidR="00997472" w:rsidRDefault="00947EF1" w:rsidP="00947EF1">
            <w:pPr>
              <w:jc w:val="center"/>
            </w:pPr>
            <w:r>
              <w:t>In particolare gli articoli  64-68</w:t>
            </w:r>
          </w:p>
        </w:tc>
        <w:tc>
          <w:tcPr>
            <w:tcW w:w="3260" w:type="dxa"/>
          </w:tcPr>
          <w:p w:rsidR="00997472" w:rsidRDefault="00997472"/>
        </w:tc>
      </w:tr>
    </w:tbl>
    <w:p w:rsidR="00BC3105" w:rsidRDefault="00BC3105"/>
    <w:p w:rsidR="008172BF" w:rsidRDefault="008172BF"/>
    <w:p w:rsidR="008172BF" w:rsidRDefault="008172BF">
      <w:r w:rsidRPr="00515988">
        <w:rPr>
          <w:b/>
        </w:rPr>
        <w:t>Si consiglia inoltre la visione dei filmati che troverete cliccando sul link</w:t>
      </w:r>
      <w:r>
        <w:t>:</w:t>
      </w:r>
    </w:p>
    <w:p w:rsidR="008172BF" w:rsidRDefault="004A0A09">
      <w:hyperlink r:id="rId9" w:history="1">
        <w:r w:rsidR="008172BF" w:rsidRPr="0030568E">
          <w:rPr>
            <w:rStyle w:val="Collegamentoipertestuale"/>
          </w:rPr>
          <w:t>http://capacitaistituzionale.formez.it/content/aggiornamento-ciclo-video-nuova-programmazione-fondi-strutturali</w:t>
        </w:r>
      </w:hyperlink>
    </w:p>
    <w:p w:rsidR="008172BF" w:rsidRDefault="008172BF">
      <w:r>
        <w:t>che sono utili  per conoscere meglio l’impianto strategico dei fondi Strutturali.</w:t>
      </w:r>
    </w:p>
    <w:sectPr w:rsidR="008172BF" w:rsidSect="008154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0719D"/>
    <w:multiLevelType w:val="multilevel"/>
    <w:tmpl w:val="EA44E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D169A6"/>
    <w:multiLevelType w:val="multilevel"/>
    <w:tmpl w:val="ABC8A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737F39"/>
    <w:rsid w:val="00077154"/>
    <w:rsid w:val="001506AA"/>
    <w:rsid w:val="001C28E3"/>
    <w:rsid w:val="001F7263"/>
    <w:rsid w:val="00277603"/>
    <w:rsid w:val="004A0A09"/>
    <w:rsid w:val="00515988"/>
    <w:rsid w:val="00737F39"/>
    <w:rsid w:val="00790B05"/>
    <w:rsid w:val="008154BA"/>
    <w:rsid w:val="008172BF"/>
    <w:rsid w:val="00947EF1"/>
    <w:rsid w:val="009949FC"/>
    <w:rsid w:val="00997472"/>
    <w:rsid w:val="00AE00F6"/>
    <w:rsid w:val="00BB4A97"/>
    <w:rsid w:val="00BC3105"/>
    <w:rsid w:val="00E1280F"/>
    <w:rsid w:val="00F5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3105"/>
  </w:style>
  <w:style w:type="paragraph" w:styleId="Titolo2">
    <w:name w:val="heading 2"/>
    <w:basedOn w:val="Normale"/>
    <w:link w:val="Titolo2Carattere"/>
    <w:uiPriority w:val="9"/>
    <w:qFormat/>
    <w:rsid w:val="00737F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37F39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37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37F39"/>
    <w:rPr>
      <w:b/>
      <w:bCs/>
    </w:rPr>
  </w:style>
  <w:style w:type="character" w:customStyle="1" w:styleId="apple-converted-space">
    <w:name w:val="apple-converted-space"/>
    <w:basedOn w:val="Carpredefinitoparagrafo"/>
    <w:rsid w:val="00737F39"/>
  </w:style>
  <w:style w:type="character" w:styleId="Enfasicorsivo">
    <w:name w:val="Emphasis"/>
    <w:basedOn w:val="Carpredefinitoparagrafo"/>
    <w:uiPriority w:val="20"/>
    <w:qFormat/>
    <w:rsid w:val="00737F39"/>
    <w:rPr>
      <w:i/>
      <w:iCs/>
    </w:rPr>
  </w:style>
  <w:style w:type="table" w:styleId="Grigliatabella">
    <w:name w:val="Table Grid"/>
    <w:basedOn w:val="Tabellanormale"/>
    <w:uiPriority w:val="59"/>
    <w:rsid w:val="00BC3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B4A97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B4A97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BB4A97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BB4A97"/>
    <w:rPr>
      <w:rFonts w:cstheme="minorBidi"/>
      <w:color w:val="auto"/>
    </w:rPr>
  </w:style>
  <w:style w:type="character" w:styleId="Collegamentoipertestuale">
    <w:name w:val="Hyperlink"/>
    <w:basedOn w:val="Carpredefinitoparagrafo"/>
    <w:uiPriority w:val="99"/>
    <w:unhideWhenUsed/>
    <w:rsid w:val="001506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9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ps.gov.it/it/AccordoPartenariato/index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eur-lex.europa.eu/LexUriServ/LexUriServ.do?uri=OJ:L:2013:347:0320:0469:IT: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ur-lex.europa.eu/LexUriServ/LexUriServ.do?uri=OJ:L:2013:347:0320:0469:IT:PDF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apacitaistituzionale.formez.it/content/aggiornamento-ciclo-video-nuova-programmazione-fondi-struttural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5B396-FFAB-4C3D-8F98-BD421E8F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stopponi</dc:creator>
  <cp:lastModifiedBy>Francesca Levroni</cp:lastModifiedBy>
  <cp:revision>4</cp:revision>
  <dcterms:created xsi:type="dcterms:W3CDTF">2014-12-02T10:09:00Z</dcterms:created>
  <dcterms:modified xsi:type="dcterms:W3CDTF">2014-12-02T10:10:00Z</dcterms:modified>
</cp:coreProperties>
</file>